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pStyle w:val="Textoindependiente"/>
        <w:jc w:val="both"/>
        <w:spacing w:before="1"/>
        <w:rPr>
          <w:b/>
        </w:rPr>
      </w:pPr>
      <w:r>
        <w:rPr>
          <w:b/>
        </w:rPr>
        <w:t xml:space="preserve">PROPOSAL FOR AGENDA ITEM ON SPECIAL CIRCUMSTANCES OF DEVELOPING COUNTRIES, INCLUDING LATIN AMERICA </w:t>
      </w:r>
    </w:p>
    <w:p>
      <w:pPr>
        <w:pStyle w:val="Textoindependiente"/>
        <w:spacing w:before="1"/>
        <w:rPr>
          <w:b/>
        </w:rPr>
      </w:pPr>
    </w:p>
    <w:p>
      <w:pPr>
        <w:pStyle w:val="Textoindependiente"/>
        <w:spacing w:before="1"/>
      </w:pPr>
      <w:r>
        <w:t>Katowice, Poland. December 2</w:t>
      </w:r>
      <w:r>
        <w:rPr>
          <w:vertAlign w:val="superscript"/>
        </w:rPr>
        <w:t>nd</w:t>
      </w:r>
      <w:r>
        <w:t xml:space="preserve">, 2018 </w:t>
      </w:r>
    </w:p>
    <w:p>
      <w:pPr>
        <w:pStyle w:val="Textoindependiente"/>
        <w:spacing w:before="1"/>
      </w:pPr>
    </w:p>
    <w:p>
      <w:pPr>
        <w:pStyle w:val="Textoindependiente"/>
        <w:ind w:right="342"/>
        <w:spacing w:before="90" w:line="280" w:lineRule="auto"/>
      </w:pPr>
      <w:r>
        <w:t xml:space="preserve">To </w:t>
      </w:r>
    </w:p>
    <w:p>
      <w:pPr>
        <w:pStyle w:val="Textoindependiente"/>
        <w:ind w:right="342"/>
        <w:spacing w:before="90" w:line="280" w:lineRule="auto"/>
        <w:rPr>
          <w:i/>
        </w:rPr>
      </w:pPr>
      <w:r>
        <w:rPr>
          <w:i/>
        </w:rPr>
        <w:t xml:space="preserve">COP23/COP 24 Presidencies </w:t>
      </w:r>
    </w:p>
    <w:p>
      <w:pPr>
        <w:pStyle w:val="Textoindependiente"/>
        <w:ind w:right="342"/>
        <w:spacing w:before="90" w:line="280" w:lineRule="auto"/>
      </w:pPr>
    </w:p>
    <w:p>
      <w:pPr>
        <w:pStyle w:val="Textoindependiente"/>
        <w:ind w:left="1701" w:right="342"/>
        <w:jc w:val="both"/>
        <w:spacing w:before="90" w:line="280" w:lineRule="auto"/>
        <w:rPr>
          <w:u w:val="single" w:color="auto"/>
        </w:rPr>
      </w:pPr>
      <w:r>
        <w:rPr>
          <w:u w:val="single" w:color="auto"/>
        </w:rPr>
        <w:t xml:space="preserve">Proposal to include a specific agenda item in the supplementary provisional Agenda for COP 24 on “the </w:t>
      </w:r>
      <w:bookmarkStart w:id="1" w:name="_Hlk531474584"/>
      <w:r>
        <w:rPr>
          <w:u w:val="single" w:color="auto"/>
        </w:rPr>
        <w:t>urgent and immediate needs and special circumstances of developing country Parties, including Latin American states, that are all particularly vulnerable to the adverse effects of climate change</w:t>
      </w:r>
      <w:bookmarkEnd w:id="1"/>
      <w:r>
        <w:rPr>
          <w:u w:val="single" w:color="auto"/>
        </w:rPr>
        <w:t xml:space="preserve"> under the Convention and the Paris Agreement”</w:t>
      </w:r>
    </w:p>
    <w:p>
      <w:pPr>
        <w:pStyle w:val="Textoindependiente"/>
      </w:pPr>
    </w:p>
    <w:p>
      <w:pPr>
        <w:pStyle w:val="Textoindependiente"/>
      </w:pPr>
      <w:r>
        <w:t xml:space="preserve">Your Excellency: </w:t>
      </w:r>
    </w:p>
    <w:p>
      <w:pPr>
        <w:pStyle w:val="Textoindependiente"/>
        <w:ind w:left="230"/>
        <w:jc w:val="both"/>
        <w:spacing w:before="90"/>
      </w:pPr>
    </w:p>
    <w:p>
      <w:pPr>
        <w:pStyle w:val="Textoindependiente"/>
        <w:jc w:val="both"/>
        <w:spacing w:before="90"/>
      </w:pPr>
      <w:r>
        <w:t xml:space="preserve">The AILAC Group of countries wishes to present its compliments to the President-Designate of COP 24 and express its gratitude to the outgoing presidency of COP23 for its work in advancing the work of the Convention and the operationalization of the Paris Agreement. </w:t>
      </w:r>
    </w:p>
    <w:p>
      <w:pPr>
        <w:pStyle w:val="Textoindependiente"/>
        <w:spacing w:before="4"/>
      </w:pPr>
    </w:p>
    <w:p>
      <w:pPr>
        <w:pStyle w:val="Textoindependiente"/>
        <w:ind w:right="113"/>
        <w:jc w:val="both"/>
        <w:spacing w:before="1"/>
      </w:pPr>
      <w:r>
        <w:t xml:space="preserve">Following the outcome of COP 21 and the adoption of the Paris Agreement, AILAC has consistently engaged and attended all consultations regarding “special circumstances”, so as to honor the outcome adopted in Paris and to reiterate its position that all developing country Parties in different regions of the world – and notably in Latin America– are highly vulnerable to the adverse impacts of climate change, especially, and in accordance with the terms of Article 4, paragraph 8 of the Convention and Article 7, paragraph 2 of the Paris Agreement, including: </w:t>
      </w:r>
    </w:p>
    <w:p>
      <w:pPr>
        <w:pStyle w:val="Textoindependiente"/>
        <w:ind w:right="113"/>
        <w:jc w:val="both"/>
        <w:spacing w:before="1"/>
      </w:pPr>
    </w:p>
    <w:p>
      <w:pPr>
        <w:pStyle w:val="Prrafodelista"/>
        <w:ind w:right="1006"/>
        <w:jc w:val="both"/>
        <w:numPr>
          <w:ilvl w:val="0"/>
          <w:numId w:val="1"/>
        </w:numPr>
      </w:pPr>
      <w:r>
        <w:t xml:space="preserve">Small island countries; </w:t>
      </w:r>
    </w:p>
    <w:p>
      <w:pPr>
        <w:pStyle w:val="Prrafodelista"/>
        <w:ind w:right="1006"/>
        <w:jc w:val="both"/>
        <w:numPr>
          <w:ilvl w:val="0"/>
          <w:numId w:val="1"/>
        </w:numPr>
      </w:pPr>
      <w:r>
        <w:t xml:space="preserve">Countries with low-lying coastal areas; </w:t>
      </w:r>
    </w:p>
    <w:p>
      <w:pPr>
        <w:pStyle w:val="Prrafodelista"/>
        <w:ind w:right="1006"/>
        <w:jc w:val="both"/>
        <w:numPr>
          <w:ilvl w:val="0"/>
          <w:numId w:val="1"/>
        </w:numPr>
      </w:pPr>
      <w:r>
        <w:t>Countries with arid and semi-arid areas, forested areas and areas liable to forest decay;</w:t>
      </w:r>
    </w:p>
    <w:p>
      <w:pPr>
        <w:pStyle w:val="Prrafodelista"/>
        <w:ind w:right="1006"/>
        <w:jc w:val="both"/>
        <w:numPr>
          <w:ilvl w:val="0"/>
          <w:numId w:val="1"/>
        </w:numPr>
      </w:pPr>
      <w:r>
        <w:t>Countries with areas prone to natural disasters;</w:t>
      </w:r>
    </w:p>
    <w:p>
      <w:pPr>
        <w:pStyle w:val="Prrafodelista"/>
        <w:ind w:right="1006"/>
        <w:jc w:val="both"/>
        <w:numPr>
          <w:ilvl w:val="0"/>
          <w:numId w:val="1"/>
        </w:numPr>
      </w:pPr>
      <w:r>
        <w:t>Countries with areas liable to drought and desertification;</w:t>
      </w:r>
    </w:p>
    <w:p>
      <w:pPr>
        <w:pStyle w:val="Prrafodelista"/>
        <w:ind w:right="1006"/>
        <w:jc w:val="both"/>
        <w:numPr>
          <w:ilvl w:val="0"/>
          <w:numId w:val="1"/>
        </w:numPr>
      </w:pPr>
      <w:r>
        <w:t>Countries with areas of high urban atmospheric pollution;</w:t>
      </w:r>
    </w:p>
    <w:p>
      <w:pPr>
        <w:pStyle w:val="Prrafodelista"/>
        <w:ind w:right="1006"/>
        <w:jc w:val="both"/>
        <w:numPr>
          <w:ilvl w:val="0"/>
          <w:numId w:val="1"/>
        </w:numPr>
      </w:pPr>
      <w:r>
        <w:t>Countries with areas with fragile ecosystems, including mountainous ecosystems;</w:t>
      </w:r>
    </w:p>
    <w:p>
      <w:pPr>
        <w:pStyle w:val="Prrafodelista"/>
        <w:ind w:right="1006"/>
        <w:jc w:val="both"/>
        <w:numPr>
          <w:ilvl w:val="0"/>
          <w:numId w:val="1"/>
        </w:numPr>
      </w:pPr>
      <w:r>
        <w:t>Countries whose economies are highly dependent on income generated from the production, processing and export, and/or on consumption of fossil fuels and associated energy-intensive products; and</w:t>
      </w:r>
    </w:p>
    <w:p>
      <w:pPr>
        <w:pStyle w:val="Prrafodelista"/>
        <w:ind w:right="1006"/>
        <w:jc w:val="both"/>
        <w:numPr>
          <w:ilvl w:val="0"/>
          <w:numId w:val="1"/>
        </w:numPr>
      </w:pPr>
      <w:r>
        <w:t>Landlocked and transit countries.</w:t>
      </w:r>
    </w:p>
    <w:p>
      <w:pPr>
        <w:pStyle w:val="Textoindependiente"/>
        <w:ind w:right="113"/>
        <w:jc w:val="both"/>
        <w:spacing w:before="1"/>
      </w:pPr>
    </w:p>
    <w:p>
      <w:pPr>
        <w:pStyle w:val="Textoindependiente"/>
        <w:ind w:right="113"/>
        <w:jc w:val="both"/>
        <w:spacing w:before="1"/>
      </w:pPr>
      <w:r>
        <w:t xml:space="preserve">  </w:t>
      </w:r>
    </w:p>
    <w:p>
      <w:pPr>
        <w:pStyle w:val="Textoindependiente"/>
        <w:jc w:val="both"/>
        <w:spacing w:before="5"/>
      </w:pPr>
      <w:r>
        <w:t>AILAC has engaged and attended such consultations so as to honor the outcome adopted in Paris and in doing so reiterated the above mentioned position. To achieve this outcome in Paris our Parties made important sacrifices despite the special circumstances our countries face in the light of the impacts of climate change.</w:t>
      </w:r>
    </w:p>
    <w:p>
      <w:pPr>
        <w:pStyle w:val="Textoindependiente"/>
        <w:jc w:val="both"/>
        <w:spacing w:before="5"/>
      </w:pPr>
    </w:p>
    <w:p>
      <w:pPr>
        <w:pStyle w:val="Textoindependiente"/>
        <w:jc w:val="both"/>
        <w:spacing w:before="5"/>
      </w:pPr>
      <w:r>
        <w:t>To this end, AILAC, in accordance to Rule 12, and in an effort to uphold the delicate balance achieved in Paris, is proposing to include a specific agenda item on “</w:t>
      </w:r>
      <w:r>
        <w:rPr>
          <w:u w:val="single" w:color="auto"/>
        </w:rPr>
        <w:t>the urgent and immediate needs and special circumstances of developing country Parties, including Latin American states, that are all particularly vulnerable to the adverse effects of climate change under the Convention and the Paris Agreement”</w:t>
      </w:r>
      <w:r>
        <w:t>. We further request this item is included in the provisional agenda of CMA 2.</w:t>
      </w:r>
    </w:p>
    <w:p>
      <w:pPr>
        <w:pStyle w:val="Textoindependiente"/>
        <w:spacing w:before="2"/>
      </w:pPr>
    </w:p>
    <w:p>
      <w:pPr>
        <w:pStyle w:val="Textoindependiente"/>
        <w:ind w:right="113"/>
        <w:jc w:val="both"/>
        <w:spacing w:before="1" w:line="242" w:lineRule="auto"/>
      </w:pPr>
      <w:r>
        <w:t>AILAC reiterates its support and cooperation to the COP Presidency as it works toward a successful outcome in</w:t>
      </w:r>
      <w:r>
        <w:rPr>
          <w:spacing w:val="-2"/>
        </w:rPr>
        <w:t xml:space="preserve"> </w:t>
      </w:r>
      <w:r>
        <w:t xml:space="preserve">Katowice so as to advance in the effective implementation of the Paris Agreement and its long–term goals, enabling the multilateral regime to deliver an ambitious response to the global threat of climate change. </w:t>
      </w:r>
    </w:p>
    <w:p>
      <w:pPr>
        <w:jc w:val="both"/>
        <w:spacing w:line="242" w:lineRule="auto"/>
        <w:sectPr>
          <w:pgSz w:w="11910" w:h="16840"/>
          <w:pgMar w:top="1580" w:right="1320" w:bottom="993" w:left="1220" w:header="720" w:footer="720" w:gutter="0"/>
          <w:cols w:space="720"/>
          <w:docGrid w:linePitch="360"/>
        </w:sectPr>
      </w:pPr>
    </w:p>
    <w:p>
      <w:pPr>
        <w:ind w:left="230"/>
        <w:spacing w:before="64"/>
        <w:rPr>
          <w:b/>
          <w:sz w:val="24"/>
        </w:rPr>
      </w:pPr>
      <w:r>
        <w:rPr>
          <w:b/>
          <w:sz w:val="24"/>
          <w:u w:val="single" w:color="auto"/>
        </w:rPr>
        <w:t>Relevant Documents</w:t>
      </w:r>
    </w:p>
    <w:p>
      <w:pPr>
        <w:pStyle w:val="Textoindependiente"/>
        <w:rPr>
          <w:b/>
          <w:sz w:val="20"/>
        </w:rPr>
      </w:pPr>
    </w:p>
    <w:p>
      <w:pPr>
        <w:pStyle w:val="Textoindependiente"/>
        <w:rPr>
          <w:b/>
          <w:sz w:val="20"/>
        </w:rPr>
      </w:pPr>
    </w:p>
    <w:p>
      <w:pPr>
        <w:pStyle w:val="Textoindependiente"/>
        <w:spacing w:before="10"/>
        <w:rPr>
          <w:b/>
          <w:sz w:val="18"/>
        </w:rPr>
      </w:pPr>
    </w:p>
    <w:tbl>
      <w:tblPr>
        <w:tblStyle w:val="TableNormal1"/>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Layout w:type="fixed"/>
      </w:tblPr>
      <w:tblGrid>
        <w:gridCol w:w="2969"/>
        <w:gridCol w:w="5339"/>
      </w:tblGrid>
      <w:tr>
        <w:trPr>
          <w:trHeight w:val="277" w:hRule="atLeast"/>
        </w:trPr>
        <w:tc>
          <w:tcPr>
            <w:tcW w:w="8308" w:type="dxa"/>
            <w:gridSpan w:val="2"/>
          </w:tcPr>
          <w:p>
            <w:pPr>
              <w:pStyle w:val="TableParagraph"/>
              <w:rPr>
                <w:sz w:val="24"/>
              </w:rPr>
            </w:pPr>
            <w:r>
              <w:rPr>
                <w:sz w:val="24"/>
              </w:rPr>
              <w:t>Article 4.8 of Convention</w:t>
            </w:r>
          </w:p>
        </w:tc>
      </w:tr>
      <w:tr>
        <w:trPr>
          <w:trHeight w:val="277" w:hRule="atLeast"/>
        </w:trPr>
        <w:tc>
          <w:tcPr>
            <w:tcW w:w="2969" w:type="dxa"/>
            <w:tcBorders>
              <w:right w:val="nil"/>
            </w:tcBorders>
          </w:tcPr>
          <w:p>
            <w:pPr>
              <w:pStyle w:val="TableParagraph"/>
              <w:rPr>
                <w:sz w:val="24"/>
              </w:rPr>
            </w:pPr>
            <w:r>
              <w:rPr>
                <w:sz w:val="24"/>
              </w:rPr>
              <w:t xml:space="preserve">Article 7.2 of the Paris Agreement </w:t>
            </w:r>
          </w:p>
        </w:tc>
        <w:tc>
          <w:tcPr>
            <w:tcW w:w="5339" w:type="dxa"/>
            <w:tcBorders>
              <w:left w:val="nil"/>
            </w:tcBorders>
          </w:tcPr>
          <w:p>
            <w:pPr>
              <w:pStyle w:val="TableParagraph"/>
              <w:ind w:left="1316"/>
              <w:rPr>
                <w:sz w:val="24"/>
              </w:rPr>
            </w:pPr>
          </w:p>
        </w:tc>
      </w:tr>
      <w:tr>
        <w:trPr>
          <w:trHeight w:val="277" w:hRule="atLeast"/>
        </w:trPr>
        <w:tc>
          <w:tcPr>
            <w:tcW w:w="2969" w:type="dxa"/>
            <w:tcBorders>
              <w:right w:val="nil"/>
            </w:tcBorders>
          </w:tcPr>
          <w:p>
            <w:pPr>
              <w:pStyle w:val="TableParagraph"/>
              <w:rPr>
                <w:sz w:val="24"/>
              </w:rPr>
            </w:pPr>
            <w:r>
              <w:rPr>
                <w:sz w:val="24"/>
              </w:rPr>
              <w:t>FCCC/CP/2016/10</w:t>
            </w:r>
          </w:p>
        </w:tc>
        <w:tc>
          <w:tcPr>
            <w:tcW w:w="5339" w:type="dxa"/>
            <w:tcBorders>
              <w:left w:val="nil"/>
            </w:tcBorders>
          </w:tcPr>
          <w:p>
            <w:pPr>
              <w:pStyle w:val="TableParagraph"/>
              <w:ind w:left="261"/>
              <w:rPr>
                <w:sz w:val="24"/>
              </w:rPr>
            </w:pPr>
            <w:r>
              <w:rPr>
                <w:sz w:val="24"/>
              </w:rPr>
              <w:t>Report of COP 22, para.155</w:t>
            </w:r>
          </w:p>
        </w:tc>
      </w:tr>
      <w:tr>
        <w:trPr>
          <w:trHeight w:val="272" w:hRule="atLeast"/>
        </w:trPr>
        <w:tc>
          <w:tcPr>
            <w:tcW w:w="2969" w:type="dxa"/>
            <w:tcBorders>
              <w:right w:val="nil"/>
            </w:tcBorders>
          </w:tcPr>
          <w:p>
            <w:pPr>
              <w:pStyle w:val="TableParagraph"/>
              <w:spacing w:line="253" w:lineRule="exact"/>
              <w:rPr>
                <w:sz w:val="24"/>
              </w:rPr>
            </w:pPr>
            <w:r>
              <w:rPr>
                <w:sz w:val="24"/>
              </w:rPr>
              <w:t>FCCC/CP/2017/11</w:t>
            </w:r>
          </w:p>
        </w:tc>
        <w:tc>
          <w:tcPr>
            <w:tcW w:w="5339" w:type="dxa"/>
            <w:tcBorders>
              <w:left w:val="nil"/>
            </w:tcBorders>
          </w:tcPr>
          <w:p>
            <w:pPr>
              <w:pStyle w:val="TableParagraph"/>
              <w:ind w:left="261"/>
              <w:spacing w:line="253" w:lineRule="exact"/>
              <w:rPr>
                <w:sz w:val="24"/>
              </w:rPr>
            </w:pPr>
            <w:r>
              <w:rPr>
                <w:sz w:val="24"/>
              </w:rPr>
              <w:t>Report of COP 23, paragraph 34</w:t>
            </w:r>
          </w:p>
        </w:tc>
      </w:tr>
    </w:tbl>
    <w:p/>
    <w:p/>
    <w:sectPr>
      <w:pgSz w:w="11910" w:h="16840"/>
      <w:pgMar w:top="1360" w:right="1320" w:bottom="280" w:left="12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00"/>
    <w:notTrueType w:val="true"/>
    <w:sig w:usb0="00007A87" w:usb1="80000000" w:usb2="00000008" w:usb3="00000001" w:csb0="400001FF" w:csb1="FFFF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57a3637e"/>
    <w:multiLevelType w:val="hybridMultilevel"/>
    <w:tmpl w:val="32229638"/>
    <w:lvl w:ilvl="0" w:tplc="3528911a">
      <w:start w:val="1"/>
      <w:numFmt w:val="lowerLetter"/>
      <w:lvlText w:val="(%1)"/>
      <w:lvlJc w:val="left"/>
      <w:pPr>
        <w:ind w:left="1854" w:hanging="360"/>
      </w:pPr>
      <w:rPr>
        <w:rFonts w:hint="default"/>
      </w:rPr>
    </w:lvl>
    <w:lvl w:ilvl="1" w:tentative="on" w:tplc="c0a0019">
      <w:start w:val="1"/>
      <w:numFmt w:val="lowerLetter"/>
      <w:lvlText w:val="%2."/>
      <w:lvlJc w:val="left"/>
      <w:pPr>
        <w:ind w:left="2574" w:hanging="360"/>
      </w:pPr>
    </w:lvl>
    <w:lvl w:ilvl="2" w:tentative="on" w:tplc="c0a001b">
      <w:start w:val="1"/>
      <w:numFmt w:val="lowerRoman"/>
      <w:lvlText w:val="%3."/>
      <w:lvlJc w:val="right"/>
      <w:pPr>
        <w:ind w:left="3294" w:hanging="180"/>
      </w:pPr>
    </w:lvl>
    <w:lvl w:ilvl="3" w:tentative="on" w:tplc="c0a000f">
      <w:start w:val="1"/>
      <w:lvlText w:val="%4."/>
      <w:lvlJc w:val="left"/>
      <w:pPr>
        <w:ind w:left="4014" w:hanging="360"/>
      </w:pPr>
    </w:lvl>
    <w:lvl w:ilvl="4" w:tentative="on" w:tplc="c0a0019">
      <w:start w:val="1"/>
      <w:numFmt w:val="lowerLetter"/>
      <w:lvlText w:val="%5."/>
      <w:lvlJc w:val="left"/>
      <w:pPr>
        <w:ind w:left="4734" w:hanging="360"/>
      </w:pPr>
    </w:lvl>
    <w:lvl w:ilvl="5" w:tentative="on" w:tplc="c0a001b">
      <w:start w:val="1"/>
      <w:numFmt w:val="lowerRoman"/>
      <w:lvlText w:val="%6."/>
      <w:lvlJc w:val="right"/>
      <w:pPr>
        <w:ind w:left="5454" w:hanging="180"/>
      </w:pPr>
    </w:lvl>
    <w:lvl w:ilvl="6" w:tentative="on" w:tplc="c0a000f">
      <w:start w:val="1"/>
      <w:lvlText w:val="%7."/>
      <w:lvlJc w:val="left"/>
      <w:pPr>
        <w:ind w:left="6174" w:hanging="360"/>
      </w:pPr>
    </w:lvl>
    <w:lvl w:ilvl="7" w:tentative="on" w:tplc="c0a0019">
      <w:start w:val="1"/>
      <w:numFmt w:val="lowerLetter"/>
      <w:lvlText w:val="%8."/>
      <w:lvlJc w:val="left"/>
      <w:pPr>
        <w:ind w:left="6894" w:hanging="360"/>
      </w:pPr>
    </w:lvl>
    <w:lvl w:ilvl="8" w:tentative="on" w:tplc="c0a001b">
      <w:start w:val="1"/>
      <w:numFmt w:val="lowerRoman"/>
      <w:lvlText w:val="%9."/>
      <w:lvlJc w:val="right"/>
      <w:pPr>
        <w:ind w:left="76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08"/>
  <w:hyphenationZone w:val="425"/>
  <w:doNotUseMarginsForDrawingGridOrigi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s-ES_tradnl" w:eastAsia="ja-JP" w:bidi="ar-SA"/>
</w:settings>
</file>

<file path=word/styles.xml><?xml version="1.0" encoding="utf-8"?>
<w:styles xmlns:r="http://schemas.openxmlformats.org/officeDocument/2006/relationships" xmlns:w="http://schemas.openxmlformats.org/wordprocessingml/2006/main">
  <w:docDefaults>
    <w:rPrDefault>
      <w:rPr>
        <w:lang w:val="es-ES_tradnl" w:eastAsia="es-ES" w:bidi="ar-SA"/>
        <w:rFonts w:asciiTheme="minorHAnsi" w:eastAsiaTheme="minorEastAsia" w:hAnsiTheme="minorHAnsi" w:cstheme="minorBidi"/>
        <w:sz w:val="24"/>
        <w:szCs w:val="24"/>
      </w:rPr>
    </w:rPrDefault>
    <w:pPrDefault>
      <w:pPr/>
    </w:pPrDefault>
  </w:docDefaults>
  <w:style w:type="paragraph" w:default="1" w:styleId="normal">
    <w:name w:val="Normal"/>
    <w:qFormat/>
    <w:pPr>
      <w:autoSpaceDE w:val="off"/>
      <w:autoSpaceDN w:val="off"/>
      <w:widowControl w:val="off"/>
    </w:pPr>
    <w:rPr>
      <w:lang w:val="en-US" w:eastAsia="en-US"/>
      <w:rFonts w:ascii="Times New Roman" w:eastAsia="Times New Roman" w:hAnsi="Times New Roman" w:cs="Times New Roman"/>
      <w:sz w:val="22"/>
      <w:szCs w:val="22"/>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extoindependienteCar">
    <w:name w:val="Texto independiente Car"/>
    <w:basedOn w:val="defaultParagraphFont"/>
    <w:link w:val="Body Text"/>
    <w:rPr>
      <w:lang w:val="en-US" w:eastAsia="en-US"/>
      <w:rFonts w:ascii="Times New Roman" w:eastAsia="Times New Roman" w:hAnsi="Times New Roman" w:cs="Times New Roman"/>
    </w:rPr>
  </w:style>
  <w:style w:type="table" w:customStyle="1" w:styleId="TableNormal1">
    <w:name w:val="Table Normal1"/>
    <w:qFormat/>
    <w:semiHidden/>
    <w:unhideWhenUsed/>
    <w:pPr>
      <w:autoSpaceDE w:val="off"/>
      <w:autoSpaceDN w:val="off"/>
      <w:widowControl w:val="off"/>
    </w:pPr>
    <w:rPr>
      <w:lang w:val="en-US" w:eastAsia="en-US"/>
      <w:rFonts w:eastAsiaTheme="minorHAnsi"/>
      <w:sz w:val="22"/>
      <w:szCs w:val="22"/>
    </w:rPr>
    <w:tblPr>
      <w:tblInd w:w="0" w:type="dxa"/>
      <w:tblCellMar>
        <w:top w:w="0" w:type="dxa"/>
        <w:left w:w="0" w:type="dxa"/>
        <w:bottom w:w="0" w:type="dxa"/>
        <w:right w:w="0" w:type="dxa"/>
      </w:tblCellMar>
    </w:tblPr>
  </w:style>
  <w:style w:type="paragraph" w:styleId="Textoindependiente">
    <w:name w:val="Body Text"/>
    <w:basedOn w:val="normal"/>
    <w:link w:val="Texto independiente Car"/>
    <w:qFormat/>
    <w:rPr>
      <w:sz w:val="24"/>
      <w:szCs w:val="24"/>
    </w:rPr>
  </w:style>
  <w:style w:type="paragraph" w:styleId="Prrafodelista">
    <w:name w:val="List Paragraph"/>
    <w:basedOn w:val="normal"/>
    <w:qFormat/>
  </w:style>
  <w:style w:type="paragraph" w:customStyle="1" w:styleId="TableParagraph">
    <w:name w:val="Table Paragraph"/>
    <w:basedOn w:val="normal"/>
    <w:qFormat/>
    <w:pPr>
      <w:ind w:left="109"/>
      <w:spacing w:line="258" w:lineRule="exac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numbering" Target="numbering.xml" /><Relationship Id="rId6"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Gothic"/>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MS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Garner</dc:creator>
  <cp:keywords/>
  <dc:description/>
  <cp:lastModifiedBy>User</cp:lastModifiedBy>
  <cp:revision>1</cp:revision>
  <dcterms:created xsi:type="dcterms:W3CDTF">2018-12-02T10:24:00Z</dcterms:created>
  <dcterms:modified xsi:type="dcterms:W3CDTF">2018-12-02T14:16:59Z</dcterms:modified>
  <cp:version>04.2000</cp:version>
</cp:coreProperties>
</file>